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Style w:val="10"/>
          <w:rFonts w:hint="default" w:ascii="宋体" w:hAnsi="宋体" w:eastAsia="宋体" w:cs="宋体"/>
          <w:b/>
          <w:color w:val="auto"/>
          <w:sz w:val="18"/>
          <w:szCs w:val="1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附件6</w:t>
      </w:r>
    </w:p>
    <w:p>
      <w:pPr>
        <w:pStyle w:val="2"/>
        <w:jc w:val="center"/>
      </w:pPr>
      <w:r>
        <w:rPr>
          <w:rStyle w:val="10"/>
          <w:rFonts w:hint="eastAsia" w:ascii="微软简标宋" w:hAnsi="微软简标宋" w:eastAsia="微软简标宋" w:cs="微软简标宋"/>
          <w:bCs/>
          <w:color w:val="auto"/>
          <w:sz w:val="44"/>
          <w:szCs w:val="44"/>
          <w:highlight w:val="none"/>
        </w:rPr>
        <w:t>严重精神障碍患者跟踪随访及个案管理服务项目验收表</w:t>
      </w:r>
    </w:p>
    <w:tbl>
      <w:tblPr>
        <w:tblStyle w:val="6"/>
        <w:tblpPr w:leftFromText="180" w:rightFromText="180" w:vertAnchor="text" w:horzAnchor="page" w:tblpXSpec="center" w:tblpY="528"/>
        <w:tblOverlap w:val="never"/>
        <w:tblW w:w="72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260"/>
        <w:gridCol w:w="400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80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36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</w:rPr>
            </w:pPr>
            <w:bookmarkStart w:id="0" w:name="_GoBack" w:colFirst="0" w:colLast="3"/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  <w:t>序号</w:t>
            </w:r>
          </w:p>
        </w:tc>
        <w:tc>
          <w:tcPr>
            <w:tcW w:w="1260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36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  <w:t>项目</w:t>
            </w:r>
          </w:p>
        </w:tc>
        <w:tc>
          <w:tcPr>
            <w:tcW w:w="400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36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</w:rPr>
              <w:t>内容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  <w:t>及指标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36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eastAsia="zh-CN"/>
              </w:rPr>
              <w:t>考核分值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  <w:jc w:val="center"/>
        </w:trPr>
        <w:tc>
          <w:tcPr>
            <w:tcW w:w="8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588E31" w:themeColor="accent4" w:themeShade="BF"/>
                <w:sz w:val="18"/>
                <w:szCs w:val="18"/>
                <w:highlight w:val="none"/>
              </w:rPr>
              <w:t>随访工作</w:t>
            </w:r>
          </w:p>
        </w:tc>
        <w:tc>
          <w:tcPr>
            <w:tcW w:w="40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  <w:t>按照要求分别对病情稳定、基本稳定、不稳定患者进行随访管理，随访频次符合要求。每处不符合扣1分，扣完为止。（10分）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  <w:t>随访表内容填写不完整扣1分/项、缺项扣1分/项、错项扣1分/项，扣完为止。（10分）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  <w:t>开展个案管理，填写好个案管理手册，每一个案未填写完整扣1分，扣完为止。（5分）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  <w:jc w:val="center"/>
        </w:trPr>
        <w:tc>
          <w:tcPr>
            <w:tcW w:w="8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</w:rPr>
              <w:t>档案建立与管理</w:t>
            </w:r>
          </w:p>
        </w:tc>
        <w:tc>
          <w:tcPr>
            <w:tcW w:w="40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  <w:t>1、患者信息按实际内容规范录入系统,每处不符合扣1分，扣完为止。（10分）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  <w:t>2、档案不完整扣0.5分/处；档案资料未及时更新扣0.5分/处，如患者及家属的联系电话，住址等。（10分）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  <w:jc w:val="center"/>
        </w:trPr>
        <w:tc>
          <w:tcPr>
            <w:tcW w:w="8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588E31" w:themeColor="accent4" w:themeShade="BF"/>
                <w:sz w:val="18"/>
                <w:szCs w:val="18"/>
              </w:rPr>
              <w:t>协助处理精神障碍患者相关事务</w:t>
            </w:r>
          </w:p>
        </w:tc>
        <w:tc>
          <w:tcPr>
            <w:tcW w:w="40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  <w:t>1、及时协助处理精神病应急处置。知情情同意书及处置记录表，处置信息能及时录入省精神卫生信息平台。处置录入系统一项不符合扣1分，扣完为止。（5分）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  <w:t>2、每次随访开展危险性评估，随访信息按要求录入系统每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  <w:t>缺一次扣0.5分，扣完为止。（5分）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  <w:t>3、协助每月派发精防药品及统计整理资料，不及时、不准确一次扣1分，扣完为止。（5分）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588E31" w:themeColor="accent4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  <w:jc w:val="center"/>
        </w:trPr>
        <w:tc>
          <w:tcPr>
            <w:tcW w:w="8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588E31" w:themeColor="accent4" w:themeShade="BF"/>
                <w:sz w:val="18"/>
                <w:szCs w:val="18"/>
                <w:highlight w:val="none"/>
              </w:rPr>
              <w:t>健康体检宣传</w:t>
            </w:r>
          </w:p>
        </w:tc>
        <w:tc>
          <w:tcPr>
            <w:tcW w:w="40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  <w:t>1、宣传发动免费体检，抽检一个患者及家属未通知到位扣0.5分/个。（5分）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  <w:t>2、体检结果及时录入精防系统。录入错项、少项扣0.5分/处。（5分）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  <w:t>3、动员体检人数不低于总人数的80 %。体检率≥80%得满分。每降低5%，扣1分，扣完为止。（5分）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  <w:jc w:val="center"/>
        </w:trPr>
        <w:tc>
          <w:tcPr>
            <w:tcW w:w="8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588E31" w:themeColor="accent4" w:themeShade="BF"/>
                <w:sz w:val="18"/>
                <w:szCs w:val="18"/>
              </w:rPr>
              <w:t>长效针剂的推广和使用</w:t>
            </w:r>
          </w:p>
        </w:tc>
        <w:tc>
          <w:tcPr>
            <w:tcW w:w="40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  <w:t>1、及时报送患者的长效针申请、评估、报销工作。提交三院的资料迟交一次扣1分；资料错误扣1分；扣完为止。（5分）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  <w:t>2、在册精神分裂症患者二代长效针使用比例达到12%。长效针使用率≥12%得满分。每降低5%，扣2分，扣完为止。（5分）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  <w:jc w:val="center"/>
        </w:trPr>
        <w:tc>
          <w:tcPr>
            <w:tcW w:w="8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588E31" w:themeColor="accent4" w:themeShade="BF"/>
                <w:sz w:val="18"/>
                <w:szCs w:val="18"/>
              </w:rPr>
              <w:t>开展辖区老年人认知功能评估和抑郁症筛查</w:t>
            </w:r>
          </w:p>
        </w:tc>
        <w:tc>
          <w:tcPr>
            <w:tcW w:w="40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  <w:t>1、2024年，至少完成不少于3个村居或社区的80%。每降低5%，扣1分，扣完为止。（5分）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lang w:val="en-US" w:eastAsia="zh-CN"/>
              </w:rPr>
              <w:t>2、2025年，完成剩下村居和社区的80%。每降低5%，扣1分，扣完为止。（5分）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  <w:jc w:val="center"/>
        </w:trPr>
        <w:tc>
          <w:tcPr>
            <w:tcW w:w="8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588E31" w:themeColor="accent4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  <w:t>保密性</w:t>
            </w:r>
          </w:p>
        </w:tc>
        <w:tc>
          <w:tcPr>
            <w:tcW w:w="40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eastAsia="宋体" w:cs="宋体"/>
                <w:color w:val="588E31" w:themeColor="accent4" w:themeShade="BF"/>
                <w:sz w:val="18"/>
                <w:szCs w:val="18"/>
                <w:highlight w:val="none"/>
              </w:rPr>
              <w:t>本项目中服务对象的任何档案资料、文件、相关图纸、谈话记录、录音及其所涉及的内容等必须严格保密，未经服务中心或服务对象许可不得以任何方式向第三方披露，违规每次扣5分，造成严重后果的将扣除100分。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588E31" w:themeColor="accent4" w:themeShade="BF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206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588E31" w:themeColor="accent4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588E31" w:themeColor="accent4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  <w:t>总分</w:t>
            </w:r>
          </w:p>
        </w:tc>
        <w:tc>
          <w:tcPr>
            <w:tcW w:w="513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588E31" w:themeColor="accent4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588E31" w:themeColor="accent4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  <w:t>100分</w:t>
            </w:r>
          </w:p>
        </w:tc>
      </w:tr>
      <w:bookmarkEnd w:id="0"/>
    </w:tbl>
    <w:p/>
    <w:sectPr>
      <w:pgSz w:w="11906" w:h="16838"/>
      <w:pgMar w:top="2211" w:right="1531" w:bottom="187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公文小标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简标宋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NWI0ZGRmMzgzZWNmOGQ4YmRhMmU1ZDcwODI4N2EifQ=="/>
  </w:docVars>
  <w:rsids>
    <w:rsidRoot w:val="5AE05FB4"/>
    <w:rsid w:val="146F7727"/>
    <w:rsid w:val="5AE05FB4"/>
    <w:rsid w:val="69D01FF0"/>
    <w:rsid w:val="75BA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5">
    <w:name w:val="heading 4"/>
    <w:basedOn w:val="1"/>
    <w:next w:val="1"/>
    <w:qFormat/>
    <w:uiPriority w:val="0"/>
    <w:pPr>
      <w:keepNext/>
      <w:jc w:val="center"/>
      <w:outlineLvl w:val="3"/>
    </w:pPr>
    <w:rPr>
      <w:rFonts w:eastAsia="公文小标宋简"/>
      <w:b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</w:style>
  <w:style w:type="paragraph" w:styleId="3">
    <w:name w:val="toc 5"/>
    <w:basedOn w:val="1"/>
    <w:next w:val="1"/>
    <w:qFormat/>
    <w:uiPriority w:val="0"/>
    <w:pPr>
      <w:ind w:left="840"/>
      <w:jc w:val="left"/>
    </w:pPr>
    <w:rPr>
      <w:sz w:val="18"/>
      <w:szCs w:val="18"/>
    </w:rPr>
  </w:style>
  <w:style w:type="paragraph" w:customStyle="1" w:styleId="8">
    <w:name w:val="石岐区标题1"/>
    <w:basedOn w:val="4"/>
    <w:next w:val="1"/>
    <w:link w:val="9"/>
    <w:qFormat/>
    <w:uiPriority w:val="0"/>
    <w:pPr>
      <w:spacing w:before="120" w:after="120" w:line="240" w:lineRule="auto"/>
    </w:pPr>
    <w:rPr>
      <w:rFonts w:eastAsia="方正小标宋简体" w:asciiTheme="minorAscii" w:hAnsiTheme="minorAscii"/>
    </w:rPr>
  </w:style>
  <w:style w:type="character" w:customStyle="1" w:styleId="9">
    <w:name w:val="石岐区标题1 Char"/>
    <w:link w:val="8"/>
    <w:qFormat/>
    <w:uiPriority w:val="0"/>
    <w:rPr>
      <w:rFonts w:eastAsia="方正小标宋简体" w:asciiTheme="minorAscii" w:hAnsiTheme="minorAscii"/>
    </w:rPr>
  </w:style>
  <w:style w:type="character" w:customStyle="1" w:styleId="10">
    <w:name w:val="NormalCharacter"/>
    <w:qFormat/>
    <w:uiPriority w:val="0"/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2024-05-13T12:44:00Z</dcterms:created>
  <dc:creator>Administrator</dc:creator>
  <cp:lastModifiedBy>刘倩云</cp:lastModifiedBy>
  <dcterms:modified xsi:type="dcterms:W3CDTF">2024-07-18T08:27:01Z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ADFC6FD5D5C248A8B454D71BD00BB0D3</vt:lpwstr>
  </property>
</Properties>
</file>